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Look w:val="01E0" w:firstRow="1" w:lastRow="1" w:firstColumn="1" w:lastColumn="1" w:noHBand="0" w:noVBand="0"/>
      </w:tblPr>
      <w:tblGrid>
        <w:gridCol w:w="2342"/>
        <w:gridCol w:w="6867"/>
      </w:tblGrid>
      <w:tr w:rsidR="007523FA" w:rsidRPr="00FE4241" w14:paraId="7E4EF37E" w14:textId="77777777" w:rsidTr="00064FAF">
        <w:tc>
          <w:tcPr>
            <w:tcW w:w="2342" w:type="dxa"/>
          </w:tcPr>
          <w:p w14:paraId="220380B6" w14:textId="77777777" w:rsidR="007523FA" w:rsidRPr="00FE4241" w:rsidRDefault="007523FA" w:rsidP="002C0BC3">
            <w:pPr>
              <w:tabs>
                <w:tab w:val="left" w:pos="1104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7B6D885A" w14:textId="77777777" w:rsidR="007523FA" w:rsidRPr="00FE4241" w:rsidRDefault="007523FA" w:rsidP="002C0BC3">
            <w:pPr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FE4241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A049F48" wp14:editId="5EA4C886">
                  <wp:extent cx="1350010" cy="93599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7" w:type="dxa"/>
          </w:tcPr>
          <w:p w14:paraId="3414D46A" w14:textId="77777777" w:rsidR="007523FA" w:rsidRPr="00FE4241" w:rsidRDefault="007523FA" w:rsidP="002C0B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40"/>
                <w:sz w:val="28"/>
                <w:szCs w:val="28"/>
              </w:rPr>
            </w:pPr>
            <w:r w:rsidRPr="00FE4241">
              <w:rPr>
                <w:rFonts w:ascii="Arial" w:eastAsia="Times New Roman" w:hAnsi="Arial" w:cs="Arial"/>
                <w:b/>
                <w:spacing w:val="40"/>
                <w:sz w:val="28"/>
                <w:szCs w:val="28"/>
              </w:rPr>
              <w:t>БЪЛГАРСКА АКАДЕМИЯ НА НАУКИТЕ</w:t>
            </w:r>
          </w:p>
          <w:p w14:paraId="1E25B9C1" w14:textId="77777777" w:rsidR="007523FA" w:rsidRPr="00FE4241" w:rsidRDefault="007523FA" w:rsidP="002C0BC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pacing w:val="28"/>
                <w:sz w:val="40"/>
                <w:szCs w:val="40"/>
              </w:rPr>
            </w:pPr>
            <w:r w:rsidRPr="00FE4241">
              <w:rPr>
                <w:rFonts w:ascii="Arial" w:eastAsia="Times New Roman" w:hAnsi="Arial" w:cs="Arial"/>
                <w:b/>
                <w:spacing w:val="28"/>
                <w:sz w:val="40"/>
                <w:szCs w:val="40"/>
              </w:rPr>
              <w:t>ИНСТИТУТ ПО ПОЛИМЕРИ</w:t>
            </w:r>
          </w:p>
          <w:p w14:paraId="2853F363" w14:textId="77777777" w:rsidR="007523FA" w:rsidRPr="00FE4241" w:rsidRDefault="007523FA" w:rsidP="002C0BC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241">
              <w:rPr>
                <w:rFonts w:ascii="Arial" w:eastAsia="Times New Roman" w:hAnsi="Arial" w:cs="Arial"/>
                <w:sz w:val="24"/>
                <w:szCs w:val="24"/>
              </w:rPr>
              <w:t>ул. Акад. Георги Бончев, бл. 103-A, 1113 София</w:t>
            </w:r>
          </w:p>
          <w:p w14:paraId="37ACE160" w14:textId="77777777" w:rsidR="007523FA" w:rsidRPr="00FE4241" w:rsidRDefault="007523FA" w:rsidP="002C0BC3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241">
              <w:rPr>
                <w:rFonts w:ascii="Arial" w:eastAsia="Times New Roman" w:hAnsi="Arial" w:cs="Arial"/>
                <w:sz w:val="24"/>
                <w:szCs w:val="24"/>
              </w:rPr>
              <w:t>тел./факс: +359 2 8700309, e-mail: office@polymer.bas.bg</w:t>
            </w:r>
          </w:p>
        </w:tc>
      </w:tr>
    </w:tbl>
    <w:p w14:paraId="35E01DE3" w14:textId="77777777" w:rsidR="007523FA" w:rsidRPr="00FE4241" w:rsidRDefault="007523FA" w:rsidP="002C0BC3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5542D17" w14:textId="77777777" w:rsidR="00BF16D5" w:rsidRPr="00FE4241" w:rsidRDefault="00BF16D5" w:rsidP="002C0BC3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952A2A6" w14:textId="77777777" w:rsidR="00BF16D5" w:rsidRPr="00FE4241" w:rsidRDefault="00BF16D5" w:rsidP="002C0BC3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236853B" w14:textId="77777777" w:rsidR="00BF16D5" w:rsidRPr="00FE4241" w:rsidRDefault="00BF16D5" w:rsidP="002C0BC3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0A21AD9" w14:textId="77777777" w:rsidR="00BF16D5" w:rsidRPr="00FE4241" w:rsidRDefault="00BF16D5" w:rsidP="002C0BC3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1E763B4" w14:textId="77777777" w:rsidR="007523FA" w:rsidRPr="00FE4241" w:rsidRDefault="007523FA" w:rsidP="002C0BC3">
      <w:pPr>
        <w:spacing w:after="0" w:line="360" w:lineRule="auto"/>
        <w:ind w:left="6096"/>
        <w:rPr>
          <w:rFonts w:ascii="Arial" w:eastAsia="Times New Roman" w:hAnsi="Arial" w:cs="Arial"/>
          <w:b/>
          <w:sz w:val="24"/>
          <w:szCs w:val="24"/>
        </w:rPr>
      </w:pPr>
    </w:p>
    <w:p w14:paraId="7350E399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0"/>
          <w:szCs w:val="40"/>
          <w14:ligatures w14:val="standardContextual"/>
        </w:rPr>
      </w:pPr>
      <w:bookmarkStart w:id="0" w:name="_Hlk180428457"/>
      <w:r w:rsidRPr="00FE4241">
        <w:rPr>
          <w:rFonts w:ascii="Times New Roman" w:eastAsia="Times New Roman" w:hAnsi="Times New Roman" w:cs="Times New Roman"/>
          <w:b/>
          <w:bCs/>
          <w:color w:val="000000"/>
          <w:kern w:val="2"/>
          <w:sz w:val="40"/>
          <w:szCs w:val="40"/>
          <w14:ligatures w14:val="standardContextual"/>
        </w:rPr>
        <w:t>КВАЛИФИКАЦИОННА ХАРАКТЕРИСТИКА</w:t>
      </w:r>
    </w:p>
    <w:bookmarkEnd w:id="0"/>
    <w:p w14:paraId="01385FEB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0"/>
          <w:szCs w:val="40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bCs/>
          <w:color w:val="000000"/>
          <w:kern w:val="2"/>
          <w:sz w:val="40"/>
          <w:szCs w:val="40"/>
          <w14:ligatures w14:val="standardContextual"/>
        </w:rPr>
        <w:t xml:space="preserve">ДОКТОРСКА ПРОГРАМА </w:t>
      </w:r>
    </w:p>
    <w:p w14:paraId="6AC46D3F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  <w:t>„Полимери и полимерни материали“</w:t>
      </w:r>
    </w:p>
    <w:p w14:paraId="7227532A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</w:pPr>
    </w:p>
    <w:p w14:paraId="69AE6FFC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</w:pPr>
    </w:p>
    <w:p w14:paraId="640B0EF4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</w:pPr>
    </w:p>
    <w:p w14:paraId="1749A2E0" w14:textId="77777777" w:rsidR="00BF16D5" w:rsidRPr="00FE4241" w:rsidRDefault="00BF16D5" w:rsidP="00BF16D5">
      <w:pPr>
        <w:spacing w:after="0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ligatures w14:val="standardContextu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2"/>
        <w:gridCol w:w="4269"/>
      </w:tblGrid>
      <w:tr w:rsidR="00BF16D5" w:rsidRPr="00FE4241" w14:paraId="171FA7B6" w14:textId="77777777" w:rsidTr="00BC24F7">
        <w:tc>
          <w:tcPr>
            <w:tcW w:w="5098" w:type="dxa"/>
            <w:vAlign w:val="center"/>
          </w:tcPr>
          <w:p w14:paraId="1E5D6D48" w14:textId="2D5644E1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Област на висшето образование</w:t>
            </w:r>
          </w:p>
        </w:tc>
        <w:tc>
          <w:tcPr>
            <w:tcW w:w="4531" w:type="dxa"/>
            <w:vAlign w:val="center"/>
          </w:tcPr>
          <w:p w14:paraId="013631C3" w14:textId="77777777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4.</w:t>
            </w:r>
            <w:r w:rsidRPr="00FE4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 </w:t>
            </w: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Природни науки, математика и информатика</w:t>
            </w:r>
          </w:p>
        </w:tc>
      </w:tr>
      <w:tr w:rsidR="00BF16D5" w:rsidRPr="00FE4241" w14:paraId="1701BEAF" w14:textId="77777777" w:rsidTr="00BC24F7">
        <w:tc>
          <w:tcPr>
            <w:tcW w:w="5098" w:type="dxa"/>
            <w:vAlign w:val="center"/>
          </w:tcPr>
          <w:p w14:paraId="3471A87E" w14:textId="667253BE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Професионално направление</w:t>
            </w:r>
          </w:p>
        </w:tc>
        <w:tc>
          <w:tcPr>
            <w:tcW w:w="4531" w:type="dxa"/>
            <w:vAlign w:val="center"/>
          </w:tcPr>
          <w:p w14:paraId="0759B1AC" w14:textId="77777777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4.2. Химически науки</w:t>
            </w:r>
          </w:p>
        </w:tc>
      </w:tr>
      <w:tr w:rsidR="00BF16D5" w:rsidRPr="00FE4241" w14:paraId="04F7B00A" w14:textId="77777777" w:rsidTr="00BC24F7">
        <w:tc>
          <w:tcPr>
            <w:tcW w:w="5098" w:type="dxa"/>
            <w:vAlign w:val="center"/>
          </w:tcPr>
          <w:p w14:paraId="38FCFB55" w14:textId="6135B022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Образователна и научна степен</w:t>
            </w:r>
          </w:p>
        </w:tc>
        <w:tc>
          <w:tcPr>
            <w:tcW w:w="4531" w:type="dxa"/>
            <w:vAlign w:val="center"/>
          </w:tcPr>
          <w:p w14:paraId="5C42AD1A" w14:textId="2902748B" w:rsidR="00BF16D5" w:rsidRPr="00FE4241" w:rsidRDefault="00C7042D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доктор</w:t>
            </w:r>
          </w:p>
        </w:tc>
      </w:tr>
      <w:tr w:rsidR="00BF16D5" w:rsidRPr="00FE4241" w14:paraId="63A68D4D" w14:textId="77777777" w:rsidTr="00BC24F7">
        <w:tc>
          <w:tcPr>
            <w:tcW w:w="5098" w:type="dxa"/>
            <w:vAlign w:val="center"/>
          </w:tcPr>
          <w:p w14:paraId="2D293132" w14:textId="6498B58F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Форма на обучение</w:t>
            </w:r>
          </w:p>
        </w:tc>
        <w:tc>
          <w:tcPr>
            <w:tcW w:w="4531" w:type="dxa"/>
            <w:vAlign w:val="center"/>
          </w:tcPr>
          <w:p w14:paraId="20512288" w14:textId="77777777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редовна /задочна/ самостоятелна подготовка</w:t>
            </w:r>
          </w:p>
        </w:tc>
      </w:tr>
      <w:tr w:rsidR="00BF16D5" w:rsidRPr="00FE4241" w14:paraId="065B2857" w14:textId="77777777" w:rsidTr="00BC24F7">
        <w:tc>
          <w:tcPr>
            <w:tcW w:w="5098" w:type="dxa"/>
            <w:vAlign w:val="center"/>
          </w:tcPr>
          <w:p w14:paraId="0787B145" w14:textId="5698268A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Срок на обучение</w:t>
            </w:r>
          </w:p>
        </w:tc>
        <w:tc>
          <w:tcPr>
            <w:tcW w:w="4531" w:type="dxa"/>
            <w:vAlign w:val="center"/>
          </w:tcPr>
          <w:p w14:paraId="7BA865ED" w14:textId="77777777" w:rsidR="00BF16D5" w:rsidRPr="00FE4241" w:rsidRDefault="00BF16D5" w:rsidP="00BF1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E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3 години/4 години/5 години</w:t>
            </w:r>
          </w:p>
        </w:tc>
      </w:tr>
    </w:tbl>
    <w:p w14:paraId="7093F736" w14:textId="77777777" w:rsidR="00B05312" w:rsidRPr="00FE4241" w:rsidRDefault="00B05312" w:rsidP="002C0BC3">
      <w:pPr>
        <w:spacing w:line="360" w:lineRule="auto"/>
        <w:ind w:left="1134"/>
        <w:jc w:val="both"/>
        <w:rPr>
          <w:rFonts w:ascii="Arial" w:hAnsi="Arial" w:cs="Arial"/>
        </w:rPr>
      </w:pPr>
    </w:p>
    <w:p w14:paraId="7F08134C" w14:textId="77777777" w:rsidR="00BF16D5" w:rsidRPr="00FE4241" w:rsidRDefault="00BF16D5" w:rsidP="002C0BC3">
      <w:pPr>
        <w:spacing w:line="360" w:lineRule="auto"/>
        <w:ind w:left="1134"/>
        <w:jc w:val="both"/>
        <w:rPr>
          <w:rFonts w:ascii="Arial" w:hAnsi="Arial" w:cs="Arial"/>
        </w:rPr>
      </w:pPr>
    </w:p>
    <w:p w14:paraId="7EFA24FE" w14:textId="77777777" w:rsidR="00BF16D5" w:rsidRPr="00FE4241" w:rsidRDefault="00BF16D5" w:rsidP="002C0BC3">
      <w:pPr>
        <w:spacing w:line="360" w:lineRule="auto"/>
        <w:ind w:left="1134"/>
        <w:jc w:val="both"/>
        <w:rPr>
          <w:rFonts w:ascii="Arial" w:hAnsi="Arial" w:cs="Arial"/>
        </w:rPr>
      </w:pPr>
    </w:p>
    <w:p w14:paraId="5D6A1843" w14:textId="77777777" w:rsidR="00BF16D5" w:rsidRPr="00FE4241" w:rsidRDefault="00BF16D5" w:rsidP="002C0BC3">
      <w:pPr>
        <w:spacing w:line="360" w:lineRule="auto"/>
        <w:ind w:left="1134"/>
        <w:jc w:val="both"/>
        <w:rPr>
          <w:rFonts w:ascii="Arial" w:hAnsi="Arial" w:cs="Arial"/>
        </w:rPr>
      </w:pPr>
    </w:p>
    <w:p w14:paraId="4A31A312" w14:textId="77777777" w:rsidR="00BF16D5" w:rsidRPr="00FE4241" w:rsidRDefault="00BF16D5" w:rsidP="002C0BC3">
      <w:pPr>
        <w:spacing w:line="360" w:lineRule="auto"/>
        <w:ind w:left="1134"/>
        <w:jc w:val="both"/>
        <w:rPr>
          <w:rFonts w:ascii="Arial" w:hAnsi="Arial" w:cs="Arial"/>
        </w:rPr>
      </w:pPr>
    </w:p>
    <w:p w14:paraId="79DA51E4" w14:textId="11869828" w:rsidR="00BF16D5" w:rsidRPr="00FE4241" w:rsidRDefault="00B6027E" w:rsidP="00BF16D5">
      <w:pPr>
        <w:keepNext/>
        <w:keepLines/>
        <w:spacing w:after="0" w:line="276" w:lineRule="auto"/>
        <w:ind w:left="10" w:right="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lastRenderedPageBreak/>
        <w:t>АНОТАЦИЯ</w:t>
      </w:r>
    </w:p>
    <w:p w14:paraId="47847FE7" w14:textId="5D2288F1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Докторската програма „</w:t>
      </w:r>
      <w:r w:rsidRPr="00FE424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” на Института по полимери при БАН</w:t>
      </w:r>
      <w:r w:rsid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(ИП-БАН)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6027E" w:rsidRPr="00246F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предоставя обучение за придобиване на образователна и научна степен – доктор</w:t>
      </w:r>
      <w:r w:rsid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  <w:r w:rsidR="00B6027E" w:rsidRP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Тя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е предназначена за специалисти с придобита образователно-квалификационна степен „магистър”. Програмата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е насочена към задълбочено</w:t>
      </w:r>
      <w:r w:rsidRP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изучаване на теоретичните основи и практическите подходи за синтез и модификация на полимери,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както и към разработването на</w:t>
      </w:r>
      <w:r w:rsidR="00B6027E" w:rsidRP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нови полимерни материали с потенциално приложение в медицината, фармацията, селското стопанство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 </w:t>
      </w:r>
      <w:r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опазване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то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 околната среда.</w:t>
      </w:r>
      <w:r w:rsidRPr="00FE4241"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 допълнение, докторантите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придобиват знания и умения за работа с</w:t>
      </w:r>
      <w:r w:rsidR="00B6027E" w:rsidRP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модерни техники </w:t>
      </w:r>
      <w:r w:rsidR="00B6027E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за охарактеризиране на 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496BFC5B" w14:textId="661596E0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ИП-БАН обучава докторанти </w:t>
      </w:r>
      <w:r w:rsidR="00B6027E" w:rsidRPr="000F6B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за придобиване на</w:t>
      </w:r>
      <w:r w:rsidR="00B6027E" w:rsidRP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образователната и научна степен „доктор” в следните форми на обучение: редовна, задочна и самостоятелна подготовка. </w:t>
      </w:r>
      <w:r w:rsidR="00B6027E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Продължителността на обучението е, както следва: 3 години за редовна форма, 4 години за задочна форма и 5 години при самостоятелна подготовка на докторанта. Обучението завършва със защита на дисертационен труд.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6027E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Подготовката на докторантите се осъществява по индивидуален учебен план, в който се определят и разпределят видовете дейности за целия срок на обучението.</w:t>
      </w:r>
      <w:r w:rsidR="00B60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16C0AECE" w14:textId="77777777" w:rsidR="00C27F16" w:rsidRDefault="00C27F16" w:rsidP="00BF16D5">
      <w:pPr>
        <w:keepNext/>
        <w:keepLines/>
        <w:tabs>
          <w:tab w:val="center" w:pos="547"/>
          <w:tab w:val="center" w:pos="4388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</w:p>
    <w:p w14:paraId="27F29DEE" w14:textId="571A4266" w:rsidR="00BF16D5" w:rsidRPr="00FE4241" w:rsidRDefault="00BF16D5" w:rsidP="00BF16D5">
      <w:pPr>
        <w:keepNext/>
        <w:keepLines/>
        <w:tabs>
          <w:tab w:val="center" w:pos="547"/>
          <w:tab w:val="center" w:pos="4388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ЦЕЛ И</w:t>
      </w:r>
      <w:r w:rsidR="00B6027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ЗАДАЧИ НА ДОКТОРСКАТА ПРОГРАМА</w:t>
      </w:r>
    </w:p>
    <w:p w14:paraId="3952C572" w14:textId="27DE322A" w:rsidR="0042452A" w:rsidRDefault="0042452A" w:rsidP="0042452A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Целта на обучението на докторанти в ИП-БАН по докторската програма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„</w:t>
      </w:r>
      <w:r w:rsidRPr="00FE424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” </w:t>
      </w:r>
      <w:r w:rsidR="00AF4D46" w:rsidRPr="00A475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е подготовката на</w:t>
      </w:r>
      <w:r w:rsidR="00AF4D46" w:rsidRP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висококвалифицирани и конкурентоспособни в световен мащаб специалисти в областта на полимерите и полимерните материали. Тази основна цел включва </w:t>
      </w:r>
      <w:r w:rsidR="00AF4D46" w:rsidRPr="00A475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и</w:t>
      </w:r>
      <w:r w:rsid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придобиване </w:t>
      </w:r>
      <w:r w:rsidR="00AF4D46" w:rsidRPr="00A475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на знания, опит и умения за анализ и решаване на интердисциплинарни и комплексни научни задачи. Заложените</w:t>
      </w:r>
      <w:r w:rsidR="00AF4D46" w:rsidRPr="00B6027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цели са предпоставка за успешната </w:t>
      </w:r>
      <w:r w:rsidR="00AF4D46" w:rsidRPr="00A475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професионална</w:t>
      </w:r>
      <w:r w:rsidR="00AF4D46" w:rsidRP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реализация на младите специалисти както в научната сфера (в страната и в чужбина), така </w:t>
      </w:r>
      <w:r w:rsidR="00AF4D46" w:rsidRP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и в индустрията – </w:t>
      </w:r>
      <w:r w:rsidR="00AF4D46" w:rsidRPr="00A475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при</w:t>
      </w:r>
      <w:r w:rsid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производството и контрола на полимерни продукти, </w:t>
      </w:r>
      <w:r w:rsidR="00AF4D4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както</w:t>
      </w:r>
      <w:r w:rsidRPr="00FE42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и за заемане на управленски и консултантски позиции.</w:t>
      </w:r>
    </w:p>
    <w:p w14:paraId="4A247DC5" w14:textId="3A75351A" w:rsidR="00BF16D5" w:rsidRDefault="00AF4D46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Научноизследователските</w:t>
      </w:r>
      <w:r w:rsidRPr="00AF4D4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BF16D5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теми, по които се разработват докторските дисертации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="00BF16D5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са актуални и </w:t>
      </w:r>
      <w:r w:rsidR="0042452A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са в съответствие с международните тенденции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в съответната научна област,</w:t>
      </w:r>
      <w:r w:rsidRPr="00AF4D4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42452A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както и с приоритетите,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определени</w:t>
      </w:r>
      <w:r w:rsidRPr="00AF4D4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42452A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 програмните документи на БАН и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 Република България</w:t>
      </w:r>
      <w:r w:rsidR="00BF16D5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 хода на обучението докторантите усвояват съвременни методи за синтез и модификация на полимери, както и подходи за създаване на нови полимерни материали с потенциално приложение в медицината, фармацията, селското стопанство и опазването на околната среда. Освен това, те се обучават и за работа с класически и модерни </w:t>
      </w:r>
      <w:r w:rsidR="00107BDD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методи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за </w:t>
      </w:r>
      <w:r w:rsidR="00107BDD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анализ и 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охарактеризиране на тези материали.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E6485A0" w14:textId="77777777" w:rsidR="00BF16D5" w:rsidRPr="00FE4241" w:rsidRDefault="00BF16D5" w:rsidP="00AF4D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1671E5E" w14:textId="77777777" w:rsidR="00BF16D5" w:rsidRPr="00FE4241" w:rsidRDefault="00BF16D5" w:rsidP="00BF16D5">
      <w:pPr>
        <w:keepNext/>
        <w:keepLines/>
        <w:spacing w:after="0" w:line="276" w:lineRule="auto"/>
        <w:ind w:left="10" w:right="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СТРУКТУРА И ОРГАНИЗАЦИЯ НА УЧЕБНИЯ ПРОЦЕС </w:t>
      </w:r>
    </w:p>
    <w:p w14:paraId="38D72266" w14:textId="779A7F2C" w:rsidR="00DD7AF0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Обучението на докторантите по докторската програма „</w:t>
      </w:r>
      <w:r w:rsidR="0042452A" w:rsidRPr="00FE424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” се провежда в </w:t>
      </w:r>
      <w:r w:rsidR="0042452A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Института по полимери 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при</w:t>
      </w:r>
      <w:r w:rsidR="0042452A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БАН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Подготовката на докторантите се осъществява съгласно </w:t>
      </w:r>
      <w:r w:rsidR="00DD7AF0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Правилника за </w:t>
      </w:r>
      <w:r w:rsidR="00145FCB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д</w:t>
      </w:r>
      <w:r w:rsidR="00DD7AF0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ейността </w:t>
      </w:r>
      <w:r w:rsidR="00145FCB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Центъра за обучение (ЦО) и Академичния съвет (АС) 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</w:t>
      </w:r>
      <w:r w:rsidR="00145FCB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БАН</w:t>
      </w:r>
      <w:r w:rsidR="00DD7AF0" w:rsidRPr="009809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утвърден от Управителния съвет на БАН. Съгласно Правилника, образователната програма на докторантите</w:t>
      </w:r>
      <w:r w:rsidR="00A475FA">
        <w:rPr>
          <w:rFonts w:ascii="Times New Roman" w:eastAsia="Times New Roman" w:hAnsi="Times New Roman" w:cs="Times New Roman"/>
          <w:strike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се осъществява в </w:t>
      </w:r>
      <w:r w:rsidR="00D839A1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рамките на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кредитната система за обучение 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към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Докторантското училище 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ЦО.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Обучението се счита за успешно завършено при събрани най-малко 2</w:t>
      </w:r>
      <w:r w:rsidR="00D438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0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0 кредита. Кредити се получават в три образователни модула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–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общо специализирано обучение, индивидуално специализирано обучение и общо академично обучение, както и 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чрез публикуване на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научни трудове и участия в научни форуми.</w:t>
      </w:r>
    </w:p>
    <w:p w14:paraId="3A54E530" w14:textId="7D9036C1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Подготовката и обучението на всеки докторант се осъществява п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 Индивидуален учебен план</w:t>
      </w:r>
      <w:r w:rsidR="00D839A1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, който включва: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темата на дисертационния труд, </w:t>
      </w:r>
      <w:r w:rsidR="00D839A1" w:rsidRP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научния(ите) ръководител(и) и/или научния консултант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докторанта, </w:t>
      </w:r>
      <w:r w:rsidR="00D839A1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целите и задачите на образователната и научноизследователската дейност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DD7AF0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както и </w:t>
      </w:r>
      <w:r w:rsidR="00D839A1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очакваните интелектуални компетентности и практически умения, които следва да бъдат усвоени</w:t>
      </w:r>
      <w:r w:rsidR="00DD7AF0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  <w:r w:rsidR="00D839A1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При изготвянето на индивидуалния план се вземат предвид личните качества, интереси и степента на предварителна подготовка на всеки докторант.</w:t>
      </w:r>
      <w:r w:rsidR="00D839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58BE9921" w14:textId="77777777" w:rsidR="00DD7AF0" w:rsidRPr="00FE4241" w:rsidRDefault="00DD7AF0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5E9244C" w14:textId="77777777" w:rsidR="00BF16D5" w:rsidRPr="00FE4241" w:rsidRDefault="00BF16D5" w:rsidP="00BF16D5">
      <w:pPr>
        <w:keepNext/>
        <w:keepLines/>
        <w:spacing w:after="0" w:line="276" w:lineRule="auto"/>
        <w:ind w:left="10" w:right="8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ПРИДОБИВАНИ ЗНАНИЯ, УМЕНИЯ И КОМПЕТЕНТНОСТИ </w:t>
      </w:r>
    </w:p>
    <w:p w14:paraId="3BB210BA" w14:textId="4555A2C0" w:rsidR="00D839A1" w:rsidRDefault="00D839A1" w:rsidP="00BF16D5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Завършилите докторската програма „</w:t>
      </w:r>
      <w:r w:rsidRPr="00A475FA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” придобиват знания, умения и компетентности, които включват:</w:t>
      </w:r>
    </w:p>
    <w:p w14:paraId="0F69EE9C" w14:textId="6B844686" w:rsidR="00BF16D5" w:rsidRDefault="004F52FF" w:rsidP="004F52FF">
      <w:pPr>
        <w:pStyle w:val="a3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Овладяване и използване на основните понятия, принципи и закономерности в полимерната наука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  <w:r w:rsidR="00BF16D5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8B66EDE" w14:textId="0E8D8C1A" w:rsidR="00DD7AF0" w:rsidRPr="00FE4241" w:rsidRDefault="00DD7AF0" w:rsidP="00A475FA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Задълбочено познаване на специализираната </w:t>
      </w:r>
      <w:r w:rsidR="004F52FF" w:rsidRPr="00A475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научна</w:t>
      </w:r>
      <w:r w:rsidR="004F52FF"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литература, развитието и постиженията на изследванията в конкретната област на дисертационния труд;</w:t>
      </w:r>
      <w:r w:rsid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9C82307" w14:textId="2B73C842" w:rsidR="00DD7AF0" w:rsidRDefault="004F52FF" w:rsidP="004F52FF">
      <w:pPr>
        <w:pStyle w:val="a3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Разширяване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 теоретичните познания, </w:t>
      </w: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позволяващо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критичен анализ </w:t>
      </w:r>
      <w:r w:rsidR="00DD7AF0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 </w:t>
      </w: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формулиране на обосновани изводи и научна оценка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5DF47811" w14:textId="67AF7F26" w:rsidR="00DD7AF0" w:rsidRDefault="00DD7AF0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Усвояване на експериментални техники</w:t>
      </w:r>
      <w:r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4F52FF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и умения, развитие на</w:t>
      </w:r>
      <w:r w:rsidR="004F52FF"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дисциплина на работното място и спазване на правилата за безопасна работа в </w:t>
      </w: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лаборатор</w:t>
      </w:r>
      <w:r w:rsidR="004F52FF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на среда</w:t>
      </w:r>
      <w:r w:rsid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06AF0AAE" w14:textId="360DC787" w:rsidR="00DD7AF0" w:rsidRPr="00FE4241" w:rsidRDefault="00DD7AF0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Овладяване на съвременни аналитични, физични, спектрални и други методи и техники за охарактеризиране на полимери – </w:t>
      </w:r>
      <w:r w:rsidR="004F52FF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познаване на теоретичните основи, практическото им прилагане и интерпретиране на получените данни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04397B46" w14:textId="5AB43807" w:rsidR="00DD7AF0" w:rsidRPr="00FE4241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Придобиване на интердисциплинарни знания и способност за интегриране на подходи от различни научни области</w:t>
      </w:r>
      <w:r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2C3AD98A" w14:textId="2ACD017F" w:rsidR="00DD7AF0" w:rsidRPr="00495A01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Развитие на компютърни и езикови умения, необходими за съвременната научноизследователска дейност;</w:t>
      </w:r>
    </w:p>
    <w:p w14:paraId="68B843F2" w14:textId="10517557" w:rsidR="00DD7AF0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Комуникативни умения за обсъждане на научни резултати и водене на дискусии – умения за писмено и устно представяне на научни разработки, защита на научни тези и докладване на резултати пред специализирана аудитория</w:t>
      </w:r>
      <w:r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00137954" w14:textId="3852F623" w:rsidR="00DD7AF0" w:rsidRPr="00FE4241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Мотивация за надграждане на собствените знания и критично отношение към резултатите от изследванията</w:t>
      </w:r>
      <w:r w:rsidRPr="004F52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062239E6" w14:textId="66B874DF" w:rsidR="00DD7AF0" w:rsidRPr="00FE4241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Умения за работа в екип (тематичен, интердисциплинарен, международен) – изграждане на толерантност, дисциплинираност, комуникативност, постоянство и инициативност</w:t>
      </w:r>
      <w:r w:rsidR="00DD7AF0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6A13F0BD" w14:textId="12A7D571" w:rsidR="00DD7AF0" w:rsidRPr="00495A01" w:rsidRDefault="004F52FF" w:rsidP="00495A01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Активно участие във всички етапи на научноизследователски проекти – подготовка, изпълнение, анализ и отчитане на резултатите;</w:t>
      </w:r>
    </w:p>
    <w:p w14:paraId="1885FE5E" w14:textId="3CF08AFF" w:rsidR="00BF16D5" w:rsidRPr="00495A01" w:rsidRDefault="004F52FF" w:rsidP="00495A01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Развит усет към приложните аспекти и социалната значимост на изследванията, както и към идентифициране на бъдещи тенденции в развитието на полимерната наука</w:t>
      </w:r>
      <w:r w:rsidR="00495A01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.</w:t>
      </w:r>
    </w:p>
    <w:p w14:paraId="677C0A61" w14:textId="77777777" w:rsidR="00BF16D5" w:rsidRPr="00FE4241" w:rsidRDefault="00BF16D5" w:rsidP="00BF16D5">
      <w:pPr>
        <w:keepNext/>
        <w:keepLines/>
        <w:spacing w:after="0" w:line="276" w:lineRule="auto"/>
        <w:ind w:left="10" w:right="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lastRenderedPageBreak/>
        <w:t xml:space="preserve">ОЧАКВАНИ РЕЗУЛТАТИ </w:t>
      </w:r>
    </w:p>
    <w:p w14:paraId="1CA707DA" w14:textId="3319B308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Очакваните резултати от обучението на докторанти</w:t>
      </w:r>
      <w:r w:rsidR="003909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те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по докторска</w:t>
      </w:r>
      <w:r w:rsidR="003909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та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програма „</w:t>
      </w:r>
      <w:r w:rsidR="004179F1" w:rsidRPr="00FE424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” </w:t>
      </w:r>
      <w:r w:rsidR="0005775E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са свързани с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придобиването и развитието 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нови знания, умения и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компетентности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които надграждат компетентността, формирана по време на обучението в магистърска степен.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По отношение на разширяване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то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 капацитета за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научноизследователска 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дейност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="0005775E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очакваните резултати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включват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: </w:t>
      </w:r>
    </w:p>
    <w:p w14:paraId="4EE4FD27" w14:textId="77777777" w:rsidR="00BF16D5" w:rsidRPr="00FE4241" w:rsidRDefault="00BF16D5" w:rsidP="00BF16D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подготовка на висококвалифицирани научноизследователски кадри в областта на професионалното направление; </w:t>
      </w:r>
    </w:p>
    <w:p w14:paraId="41D09B88" w14:textId="34CE29C2" w:rsidR="00BF16D5" w:rsidRPr="00FE4241" w:rsidRDefault="00BF16D5" w:rsidP="00BF16D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създаване на нови научни и научно-приложни продукти в приоритетни за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България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и Европейския съюз области на </w:t>
      </w:r>
      <w:r w:rsidR="004179F1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полимерната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наука; </w:t>
      </w:r>
    </w:p>
    <w:p w14:paraId="7AEB8C7D" w14:textId="05C09AF4" w:rsidR="00BF16D5" w:rsidRPr="00FE4241" w:rsidRDefault="00BF16D5" w:rsidP="0039099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поддържане на високо ниво на информираност на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академичния състав</w:t>
      </w:r>
      <w:r w:rsidR="00390998" w:rsidRPr="00495A01">
        <w:t xml:space="preserve"> </w:t>
      </w:r>
      <w:r w:rsidR="00390998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относно световните постижения в съответната научна специалност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; </w:t>
      </w:r>
    </w:p>
    <w:p w14:paraId="3979A0AE" w14:textId="1C4BB7A8" w:rsidR="00BF16D5" w:rsidRPr="00495A01" w:rsidRDefault="00390998" w:rsidP="0039099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развитие и укрепване на партньорства с национални и международни академични институции и изследователски центрове, както и провеждане на съвместна научноизследователска дейност;</w:t>
      </w:r>
    </w:p>
    <w:p w14:paraId="0A160410" w14:textId="1E5FCD16" w:rsidR="00BF16D5" w:rsidRPr="00495A01" w:rsidRDefault="00390998" w:rsidP="0039099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осигуряване на възможности за докторантите да се запознаят и възползват от постиженията и добрите практики на водещи научни центрове;</w:t>
      </w:r>
    </w:p>
    <w:p w14:paraId="1ADC450D" w14:textId="0F51C13E" w:rsidR="00495A01" w:rsidRPr="00495A01" w:rsidRDefault="00390998" w:rsidP="0039099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Подпомагане на развитието на научноизследователската дейност с оглед нейното практическо приложение;</w:t>
      </w:r>
    </w:p>
    <w:p w14:paraId="5A96E9D0" w14:textId="549430DA" w:rsidR="00390998" w:rsidRPr="00A45409" w:rsidRDefault="00390998" w:rsidP="00495A01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A4540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Стимулиране на научното и професионалното израстване на младите специалисти.</w:t>
      </w:r>
    </w:p>
    <w:p w14:paraId="542309B7" w14:textId="77777777" w:rsidR="00390998" w:rsidRPr="00390998" w:rsidRDefault="00390998" w:rsidP="003909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1423945" w14:textId="16CFBFC4" w:rsidR="00BF16D5" w:rsidRPr="00FE4241" w:rsidRDefault="00390998" w:rsidP="00BF16D5">
      <w:pPr>
        <w:keepNext/>
        <w:keepLines/>
        <w:spacing w:after="0" w:line="276" w:lineRule="auto"/>
        <w:ind w:left="10" w:right="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РЕАЛИЗАЦИЯ</w:t>
      </w:r>
    </w:p>
    <w:p w14:paraId="049BCBFC" w14:textId="33DAC547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Придобилите ОНС „Доктор“ по докторска</w:t>
      </w:r>
      <w:r w:rsid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та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програма „</w:t>
      </w:r>
      <w:r w:rsidR="0005775E" w:rsidRPr="0008765F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Полимери и полимерни материали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“ са висококвалифицирани специалисти, притежаващи </w:t>
      </w:r>
      <w:r w:rsidR="0008765F" w:rsidRPr="00495A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задълбочени</w:t>
      </w:r>
      <w:r w:rsidR="0008765F" w:rsidRP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знания и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практически</w:t>
      </w:r>
      <w:r w:rsid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умения в областта на </w:t>
      </w:r>
      <w:r w:rsidR="0005775E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полимерната наука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Защитилите докторанти могат да се реализират като: </w:t>
      </w:r>
    </w:p>
    <w:p w14:paraId="67ED4215" w14:textId="644C9BCF" w:rsidR="00BF16D5" w:rsidRPr="00FE4241" w:rsidRDefault="00BF16D5" w:rsidP="008340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изследователи в</w:t>
      </w:r>
      <w:r w:rsidR="0005775E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научноизследователски организации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; </w:t>
      </w:r>
    </w:p>
    <w:p w14:paraId="140D2108" w14:textId="77777777" w:rsidR="00BF16D5" w:rsidRPr="00FE4241" w:rsidRDefault="00BF16D5" w:rsidP="008340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преподаватели във висши училища; </w:t>
      </w:r>
    </w:p>
    <w:p w14:paraId="56B8FDFB" w14:textId="013BD7AE" w:rsidR="00BF16D5" w:rsidRPr="00FE4241" w:rsidRDefault="008340F9" w:rsidP="0008765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експерти и консултанти в областта на полимерите и полимерните материали към различни институции</w:t>
      </w:r>
      <w:r w:rsidR="0008765F" w:rsidRPr="0008765F">
        <w:rPr>
          <w:rFonts w:ascii="Times New Roman" w:hAnsi="Times New Roman" w:cs="Times New Roman"/>
          <w:sz w:val="24"/>
        </w:rPr>
        <w:t xml:space="preserve">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и организации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  <w:r w:rsidR="00BF16D5"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26A264B" w14:textId="2F3A1752" w:rsidR="008340F9" w:rsidRPr="00FE4241" w:rsidRDefault="008340F9" w:rsidP="0008765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специалисти в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сферата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на производството</w:t>
      </w:r>
      <w:r w:rsidR="0008765F" w:rsidRP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анализа</w:t>
      </w:r>
      <w:r w:rsidR="0008765F" w:rsidRP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и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контрола на полимерни продукти.</w:t>
      </w:r>
    </w:p>
    <w:p w14:paraId="11F46A5E" w14:textId="3D3922A5" w:rsidR="00BF16D5" w:rsidRDefault="00BF16D5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Завършилите докторската програма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имат възможност</w:t>
      </w:r>
      <w:r w:rsidR="0008765F" w:rsidRP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да участват в различни форми на продължаващо обучение</w:t>
      </w:r>
      <w:r w:rsid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включително</w:t>
      </w:r>
      <w:r w:rsidR="000876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постдокторантски програми за повишаване на професионалната квалификация </w:t>
      </w:r>
      <w:r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 </w:t>
      </w:r>
      <w:r w:rsidR="0008765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разширяване на научния опит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както и в хабилитационни процедури и процедури </w:t>
      </w:r>
      <w:r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за</w:t>
      </w:r>
      <w:r w:rsidR="00994A8F" w:rsidRPr="00B007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академично израстване</w:t>
      </w:r>
      <w:r w:rsidRPr="00FE42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261567C" w14:textId="77777777" w:rsidR="0008765F" w:rsidRDefault="0008765F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5B3F9223" w14:textId="77777777" w:rsidR="0008765F" w:rsidRDefault="0008765F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30D6204F" w14:textId="18DB225A" w:rsidR="0008765F" w:rsidRPr="00994A8F" w:rsidRDefault="00994A8F" w:rsidP="00BF16D5">
      <w:pPr>
        <w:spacing w:after="0" w:line="276" w:lineRule="auto"/>
        <w:ind w:left="-15" w:firstLine="724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</w:pPr>
      <w:r w:rsidRPr="00994A8F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Настоящата квалификационна характеристика по докторска програма „Полимери и полимерни материали“ е приета на 28.10.2025 г. на заседание на Научния съвет на ИП-БАН.</w:t>
      </w:r>
    </w:p>
    <w:sectPr w:rsidR="0008765F" w:rsidRPr="00994A8F" w:rsidSect="00F936D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D46"/>
    <w:multiLevelType w:val="multilevel"/>
    <w:tmpl w:val="87CC0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3471E0"/>
    <w:multiLevelType w:val="hybridMultilevel"/>
    <w:tmpl w:val="1C7C46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15E3"/>
    <w:multiLevelType w:val="hybridMultilevel"/>
    <w:tmpl w:val="B7769F0A"/>
    <w:lvl w:ilvl="0" w:tplc="F0603914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46486">
      <w:start w:val="1"/>
      <w:numFmt w:val="bullet"/>
      <w:lvlText w:val="o"/>
      <w:lvlJc w:val="left"/>
      <w:pPr>
        <w:ind w:left="1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414BA">
      <w:start w:val="1"/>
      <w:numFmt w:val="bullet"/>
      <w:lvlText w:val="▪"/>
      <w:lvlJc w:val="left"/>
      <w:pPr>
        <w:ind w:left="2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2BF12">
      <w:start w:val="1"/>
      <w:numFmt w:val="bullet"/>
      <w:lvlText w:val="•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28F02">
      <w:start w:val="1"/>
      <w:numFmt w:val="bullet"/>
      <w:lvlText w:val="o"/>
      <w:lvlJc w:val="left"/>
      <w:pPr>
        <w:ind w:left="3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15AC">
      <w:start w:val="1"/>
      <w:numFmt w:val="bullet"/>
      <w:lvlText w:val="▪"/>
      <w:lvlJc w:val="left"/>
      <w:pPr>
        <w:ind w:left="4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C1D4">
      <w:start w:val="1"/>
      <w:numFmt w:val="bullet"/>
      <w:lvlText w:val="•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EAFD0">
      <w:start w:val="1"/>
      <w:numFmt w:val="bullet"/>
      <w:lvlText w:val="o"/>
      <w:lvlJc w:val="left"/>
      <w:pPr>
        <w:ind w:left="5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4BC04">
      <w:start w:val="1"/>
      <w:numFmt w:val="bullet"/>
      <w:lvlText w:val="▪"/>
      <w:lvlJc w:val="left"/>
      <w:pPr>
        <w:ind w:left="6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93FC3"/>
    <w:multiLevelType w:val="hybridMultilevel"/>
    <w:tmpl w:val="1EB68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F5748"/>
    <w:multiLevelType w:val="hybridMultilevel"/>
    <w:tmpl w:val="E692F07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672145"/>
    <w:multiLevelType w:val="multilevel"/>
    <w:tmpl w:val="328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C75D4"/>
    <w:multiLevelType w:val="hybridMultilevel"/>
    <w:tmpl w:val="CAD264CA"/>
    <w:lvl w:ilvl="0" w:tplc="2C200B8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6474AA"/>
    <w:multiLevelType w:val="hybridMultilevel"/>
    <w:tmpl w:val="F648C7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53A11"/>
    <w:multiLevelType w:val="hybridMultilevel"/>
    <w:tmpl w:val="7A963C5A"/>
    <w:lvl w:ilvl="0" w:tplc="31B68B9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CA0D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A230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0B89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AFF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ADC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CD4D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C0A1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003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751EB8"/>
    <w:multiLevelType w:val="hybridMultilevel"/>
    <w:tmpl w:val="76A2BB0A"/>
    <w:lvl w:ilvl="0" w:tplc="E4868B0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28460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A4504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4C1DC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68AD2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414CC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09B4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ADA60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6CAF4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834547"/>
    <w:multiLevelType w:val="hybridMultilevel"/>
    <w:tmpl w:val="8B0CD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95641"/>
    <w:multiLevelType w:val="hybridMultilevel"/>
    <w:tmpl w:val="A218F08E"/>
    <w:lvl w:ilvl="0" w:tplc="2C200B8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416FC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602CC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85B3C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69E54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8BC52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C24F8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4760E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0C9B2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9936098">
    <w:abstractNumId w:val="10"/>
  </w:num>
  <w:num w:numId="2" w16cid:durableId="39474513">
    <w:abstractNumId w:val="0"/>
  </w:num>
  <w:num w:numId="3" w16cid:durableId="1847014793">
    <w:abstractNumId w:val="1"/>
  </w:num>
  <w:num w:numId="4" w16cid:durableId="1065027647">
    <w:abstractNumId w:val="3"/>
  </w:num>
  <w:num w:numId="5" w16cid:durableId="824931834">
    <w:abstractNumId w:val="7"/>
  </w:num>
  <w:num w:numId="6" w16cid:durableId="836574746">
    <w:abstractNumId w:val="11"/>
  </w:num>
  <w:num w:numId="7" w16cid:durableId="1116097559">
    <w:abstractNumId w:val="2"/>
  </w:num>
  <w:num w:numId="8" w16cid:durableId="1197616884">
    <w:abstractNumId w:val="9"/>
  </w:num>
  <w:num w:numId="9" w16cid:durableId="401491130">
    <w:abstractNumId w:val="8"/>
  </w:num>
  <w:num w:numId="10" w16cid:durableId="1071851131">
    <w:abstractNumId w:val="6"/>
  </w:num>
  <w:num w:numId="11" w16cid:durableId="555895627">
    <w:abstractNumId w:val="4"/>
  </w:num>
  <w:num w:numId="12" w16cid:durableId="48524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FA"/>
    <w:rsid w:val="0005775E"/>
    <w:rsid w:val="00083559"/>
    <w:rsid w:val="0008765F"/>
    <w:rsid w:val="000F6315"/>
    <w:rsid w:val="000F6B00"/>
    <w:rsid w:val="00107BDD"/>
    <w:rsid w:val="00145FCB"/>
    <w:rsid w:val="001843E8"/>
    <w:rsid w:val="00186831"/>
    <w:rsid w:val="001D0706"/>
    <w:rsid w:val="001E354D"/>
    <w:rsid w:val="00215157"/>
    <w:rsid w:val="00216B56"/>
    <w:rsid w:val="00236EC3"/>
    <w:rsid w:val="00237318"/>
    <w:rsid w:val="00246E33"/>
    <w:rsid w:val="00246FFA"/>
    <w:rsid w:val="00262F82"/>
    <w:rsid w:val="00296417"/>
    <w:rsid w:val="002C0BC3"/>
    <w:rsid w:val="002D2D22"/>
    <w:rsid w:val="0030268A"/>
    <w:rsid w:val="00367423"/>
    <w:rsid w:val="00387894"/>
    <w:rsid w:val="00390998"/>
    <w:rsid w:val="004179F1"/>
    <w:rsid w:val="0042452A"/>
    <w:rsid w:val="00425913"/>
    <w:rsid w:val="0046368E"/>
    <w:rsid w:val="00495A01"/>
    <w:rsid w:val="004F52FF"/>
    <w:rsid w:val="00512BBE"/>
    <w:rsid w:val="005519D4"/>
    <w:rsid w:val="005B0694"/>
    <w:rsid w:val="006408C9"/>
    <w:rsid w:val="0068636B"/>
    <w:rsid w:val="006A389E"/>
    <w:rsid w:val="006F3197"/>
    <w:rsid w:val="00720B6D"/>
    <w:rsid w:val="007444C3"/>
    <w:rsid w:val="007523FA"/>
    <w:rsid w:val="007645A6"/>
    <w:rsid w:val="007C3AB5"/>
    <w:rsid w:val="0080330C"/>
    <w:rsid w:val="008240D4"/>
    <w:rsid w:val="008340F9"/>
    <w:rsid w:val="00883777"/>
    <w:rsid w:val="008C4653"/>
    <w:rsid w:val="008E50EF"/>
    <w:rsid w:val="008F4297"/>
    <w:rsid w:val="00907B26"/>
    <w:rsid w:val="009574CA"/>
    <w:rsid w:val="009809B6"/>
    <w:rsid w:val="00994A8F"/>
    <w:rsid w:val="009C7377"/>
    <w:rsid w:val="009E4EE6"/>
    <w:rsid w:val="009F60B3"/>
    <w:rsid w:val="00A07EF1"/>
    <w:rsid w:val="00A10DB4"/>
    <w:rsid w:val="00A45409"/>
    <w:rsid w:val="00A475FA"/>
    <w:rsid w:val="00A54988"/>
    <w:rsid w:val="00A971AA"/>
    <w:rsid w:val="00AA4E31"/>
    <w:rsid w:val="00AA5F20"/>
    <w:rsid w:val="00AC2056"/>
    <w:rsid w:val="00AF4D46"/>
    <w:rsid w:val="00B00720"/>
    <w:rsid w:val="00B05312"/>
    <w:rsid w:val="00B15901"/>
    <w:rsid w:val="00B6027E"/>
    <w:rsid w:val="00BB1059"/>
    <w:rsid w:val="00BD25BF"/>
    <w:rsid w:val="00BF16D5"/>
    <w:rsid w:val="00C063DC"/>
    <w:rsid w:val="00C2234A"/>
    <w:rsid w:val="00C27F16"/>
    <w:rsid w:val="00C53ADB"/>
    <w:rsid w:val="00C7042D"/>
    <w:rsid w:val="00C73968"/>
    <w:rsid w:val="00C90FA2"/>
    <w:rsid w:val="00CD5DF7"/>
    <w:rsid w:val="00D438AD"/>
    <w:rsid w:val="00D839A1"/>
    <w:rsid w:val="00D90196"/>
    <w:rsid w:val="00DA3D04"/>
    <w:rsid w:val="00DB1FEF"/>
    <w:rsid w:val="00DC1462"/>
    <w:rsid w:val="00DC3B60"/>
    <w:rsid w:val="00DD7AF0"/>
    <w:rsid w:val="00F165AB"/>
    <w:rsid w:val="00F66B1D"/>
    <w:rsid w:val="00F936DF"/>
    <w:rsid w:val="00FC5EF0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5F4A"/>
  <w15:chartTrackingRefBased/>
  <w15:docId w15:val="{3CE95CC2-3344-49C9-A189-BCAA6A4B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C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3731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3731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rsid w:val="002373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31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237318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A4E3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2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40D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F16D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6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6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ppetrov</cp:lastModifiedBy>
  <cp:revision>2</cp:revision>
  <dcterms:created xsi:type="dcterms:W3CDTF">2026-01-23T14:16:00Z</dcterms:created>
  <dcterms:modified xsi:type="dcterms:W3CDTF">2026-01-23T14:16:00Z</dcterms:modified>
</cp:coreProperties>
</file>